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39295</wp:posOffset>
                </wp:positionH>
                <wp:positionV relativeFrom="paragraph">
                  <wp:posOffset>185</wp:posOffset>
                </wp:positionV>
                <wp:extent cx="2105247" cy="698345"/>
                <wp:effectExtent l="0" t="0" r="0" b="6985"/>
                <wp:wrapTight wrapText="bothSides">
                  <wp:wrapPolygon edited="0">
                    <wp:start x="2932" y="0"/>
                    <wp:lineTo x="0" y="2948"/>
                    <wp:lineTo x="0" y="11793"/>
                    <wp:lineTo x="1759" y="18868"/>
                    <wp:lineTo x="2541" y="21227"/>
                    <wp:lineTo x="2737" y="21227"/>
                    <wp:lineTo x="4105" y="21227"/>
                    <wp:lineTo x="4300" y="21227"/>
                    <wp:lineTo x="5082" y="18868"/>
                    <wp:lineTo x="21307" y="16510"/>
                    <wp:lineTo x="21307" y="9434"/>
                    <wp:lineTo x="15443" y="9434"/>
                    <wp:lineTo x="4105" y="0"/>
                    <wp:lineTo x="2932" y="0"/>
                  </wp:wrapPolygon>
                </wp:wrapTight>
                <wp:docPr id="1" name="Рисунок 2" descr="Z:\Брендбук\Фирменный стиль Росреестр 2022 г_\наши логотипы\Упрощенное лого Челябинская область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Брендбук\Фирменный стиль Росреестр 2022 г_\наши логотипы\Упрощенное лого Челябинская область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121809" cy="703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margin;margin-left:3.09pt;mso-position-horizontal:absolute;mso-position-vertical-relative:text;margin-top:0.01pt;mso-position-vertical:absolute;width:165.77pt;height:54.99pt;mso-wrap-distance-left:9.00pt;mso-wrap-distance-top:0.00pt;mso-wrap-distance-right:9.00pt;mso-wrap-distance-bottom:0.00pt;" wrapcoords="13574 0 0 13648 0 54597 8144 87352 11764 98273 12671 98273 19005 98273 19907 98273 23528 87352 98644 76435 98644 43676 71495 43676 19005 0 13574 0" stroked="f">
                <v:path textboxrect="0,0,0,0"/>
                <w10:wrap type="tight"/>
                <v:imagedata r:id="rId7" o:title=""/>
              </v:shape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5</w:t>
      </w:r>
    </w:p>
    <w:p>
      <w:pPr>
        <w:jc w:val="center"/>
        <w:rPr>
          <w:b/>
          <w:color w:val="0070c0"/>
          <w:sz w:val="28"/>
          <w:szCs w:val="28"/>
        </w:rPr>
      </w:pPr>
    </w:p>
    <w:p>
      <w:pPr>
        <w:jc w:val="center"/>
        <w:rPr>
          <w:b/>
          <w:color w:val="0070c0"/>
          <w:sz w:val="28"/>
          <w:szCs w:val="28"/>
        </w:rPr>
      </w:pPr>
    </w:p>
    <w:p>
      <w:pPr>
        <w:jc w:val="center"/>
        <w:rPr>
          <w:b/>
          <w:color w:val="0070c0"/>
          <w:sz w:val="28"/>
          <w:szCs w:val="28"/>
        </w:rPr>
      </w:pPr>
      <w:bookmarkStart w:id="0" w:name="_GoBack"/>
      <w:r>
        <w:rPr>
          <w:b/>
          <w:color w:val="0070c0"/>
          <w:sz w:val="28"/>
          <w:szCs w:val="28"/>
        </w:rPr>
        <w:t xml:space="preserve">Электронный адрес правообладателя в ЕГРН должен быть актуальным</w:t>
      </w:r>
    </w:p>
    <w:p>
      <w:pPr>
        <w:jc w:val="center"/>
        <w:rPr>
          <w:b/>
          <w:sz w:val="28"/>
          <w:szCs w:val="28"/>
        </w:rPr>
      </w:pPr>
    </w:p>
    <w:p>
      <w:pPr>
        <w:ind w:firstLine="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Росреестра по Челябинской области </w:t>
      </w:r>
      <w:r>
        <w:rPr>
          <w:b/>
          <w:sz w:val="28"/>
          <w:szCs w:val="28"/>
        </w:rPr>
        <w:t xml:space="preserve">вносит в ЕГРН </w:t>
      </w:r>
      <w:r>
        <w:rPr>
          <w:b/>
          <w:sz w:val="28"/>
          <w:szCs w:val="28"/>
        </w:rPr>
        <w:t xml:space="preserve">адреса </w:t>
      </w:r>
      <w:r>
        <w:rPr>
          <w:b/>
          <w:sz w:val="28"/>
          <w:szCs w:val="28"/>
        </w:rPr>
        <w:t xml:space="preserve">электронн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почты заявителей. Собственники недвижимости заинтересованы в наличии</w:t>
      </w:r>
      <w:r>
        <w:rPr>
          <w:b/>
          <w:sz w:val="28"/>
          <w:szCs w:val="28"/>
        </w:rPr>
        <w:t xml:space="preserve"> верны</w:t>
      </w:r>
      <w:r>
        <w:rPr>
          <w:b/>
          <w:sz w:val="28"/>
          <w:szCs w:val="28"/>
        </w:rPr>
        <w:t xml:space="preserve">х</w:t>
      </w:r>
      <w:r>
        <w:rPr>
          <w:b/>
          <w:sz w:val="28"/>
          <w:szCs w:val="28"/>
        </w:rPr>
        <w:t xml:space="preserve"> контактны</w:t>
      </w:r>
      <w:r>
        <w:rPr>
          <w:b/>
          <w:sz w:val="28"/>
          <w:szCs w:val="28"/>
        </w:rPr>
        <w:t xml:space="preserve">х</w:t>
      </w:r>
      <w:r>
        <w:rPr>
          <w:b/>
          <w:sz w:val="28"/>
          <w:szCs w:val="28"/>
        </w:rPr>
        <w:t xml:space="preserve"> данны</w:t>
      </w:r>
      <w:r>
        <w:rPr>
          <w:b/>
          <w:sz w:val="28"/>
          <w:szCs w:val="28"/>
        </w:rPr>
        <w:t xml:space="preserve">х для </w:t>
      </w:r>
      <w:r>
        <w:rPr>
          <w:b/>
          <w:sz w:val="28"/>
          <w:szCs w:val="28"/>
        </w:rPr>
        <w:t xml:space="preserve">получения </w:t>
      </w:r>
      <w:r>
        <w:rPr>
          <w:b/>
          <w:sz w:val="28"/>
          <w:szCs w:val="28"/>
        </w:rPr>
        <w:t xml:space="preserve">актуальной информации о своём имуществе. 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случае изменения </w:t>
      </w:r>
      <w:r>
        <w:rPr>
          <w:b/>
          <w:sz w:val="28"/>
          <w:szCs w:val="28"/>
        </w:rPr>
        <w:t xml:space="preserve">электронно</w:t>
      </w:r>
      <w:r>
        <w:rPr>
          <w:b/>
          <w:sz w:val="28"/>
          <w:szCs w:val="28"/>
        </w:rPr>
        <w:t xml:space="preserve">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почт</w:t>
      </w:r>
      <w:r>
        <w:rPr>
          <w:b/>
          <w:sz w:val="28"/>
          <w:szCs w:val="28"/>
        </w:rPr>
        <w:t xml:space="preserve">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правообладателю </w:t>
      </w: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ажно </w:t>
      </w:r>
      <w:r>
        <w:rPr>
          <w:b/>
          <w:sz w:val="28"/>
          <w:szCs w:val="28"/>
        </w:rPr>
        <w:t xml:space="preserve">обнов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ть</w:t>
      </w:r>
      <w:r>
        <w:rPr>
          <w:b/>
          <w:sz w:val="28"/>
          <w:szCs w:val="28"/>
        </w:rPr>
        <w:t xml:space="preserve"> сведения</w:t>
      </w:r>
      <w:r>
        <w:rPr>
          <w:b/>
          <w:sz w:val="28"/>
          <w:szCs w:val="28"/>
        </w:rPr>
        <w:t xml:space="preserve"> в Росреестре</w:t>
      </w:r>
      <w:r>
        <w:rPr>
          <w:b/>
          <w:sz w:val="28"/>
          <w:szCs w:val="28"/>
        </w:rPr>
        <w:t xml:space="preserve">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обращении за получением государственных услуг по кадастровому учету и регистрации прав на объекты недвижимого имущества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всегда </w:t>
      </w:r>
      <w:r>
        <w:rPr>
          <w:sz w:val="28"/>
          <w:szCs w:val="28"/>
        </w:rPr>
        <w:t xml:space="preserve">рекомендуе</w:t>
      </w:r>
      <w:r>
        <w:rPr>
          <w:sz w:val="28"/>
          <w:szCs w:val="28"/>
        </w:rPr>
        <w:t xml:space="preserve">тся</w:t>
      </w:r>
      <w:r>
        <w:rPr>
          <w:sz w:val="28"/>
          <w:szCs w:val="28"/>
        </w:rPr>
        <w:t xml:space="preserve"> указывать а</w:t>
      </w:r>
      <w:r>
        <w:rPr>
          <w:sz w:val="28"/>
          <w:szCs w:val="28"/>
        </w:rPr>
        <w:t xml:space="preserve">дрес электронной почты </w:t>
      </w:r>
      <w:r>
        <w:rPr>
          <w:sz w:val="28"/>
          <w:szCs w:val="28"/>
        </w:rPr>
        <w:t xml:space="preserve">правообладателя. Эти сведения </w:t>
      </w:r>
      <w:r>
        <w:rPr>
          <w:sz w:val="28"/>
          <w:szCs w:val="28"/>
        </w:rPr>
        <w:t xml:space="preserve">внос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тся в ЕГРН по желанию собственника</w:t>
      </w:r>
      <w:r>
        <w:rPr>
          <w:sz w:val="28"/>
          <w:szCs w:val="28"/>
        </w:rPr>
        <w:t xml:space="preserve"> и используется исключительно в </w:t>
      </w:r>
      <w:r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интересах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акой способ своевременного информирования помогает гражданам и юридическим лицам непосредственно </w:t>
      </w:r>
      <w:r>
        <w:rPr>
          <w:sz w:val="28"/>
          <w:szCs w:val="28"/>
        </w:rPr>
        <w:t xml:space="preserve">во время</w:t>
      </w:r>
      <w:r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сдел</w:t>
      </w:r>
      <w:r>
        <w:rPr>
          <w:sz w:val="28"/>
          <w:szCs w:val="28"/>
        </w:rPr>
        <w:t xml:space="preserve">ки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Также б</w:t>
      </w:r>
      <w:r>
        <w:rPr>
          <w:sz w:val="28"/>
          <w:szCs w:val="28"/>
        </w:rPr>
        <w:t xml:space="preserve">лагодаря этому владелец недвижимости </w:t>
      </w:r>
      <w:r>
        <w:rPr>
          <w:sz w:val="28"/>
          <w:szCs w:val="28"/>
        </w:rPr>
        <w:t xml:space="preserve">в дальнейшем </w:t>
      </w:r>
      <w:r>
        <w:rPr>
          <w:sz w:val="28"/>
          <w:szCs w:val="28"/>
        </w:rPr>
        <w:t xml:space="preserve">может оперативно получать из Росреестра информацию о действиях с его </w:t>
      </w:r>
      <w:r>
        <w:rPr>
          <w:sz w:val="28"/>
          <w:szCs w:val="28"/>
        </w:rPr>
        <w:t xml:space="preserve">объектом</w:t>
      </w:r>
      <w:r>
        <w:rPr>
          <w:sz w:val="28"/>
          <w:szCs w:val="28"/>
        </w:rPr>
        <w:t xml:space="preserve"> (наложение ареста, предоставление документов на госрегистрацию, погашение ипотеки</w:t>
      </w:r>
      <w:r>
        <w:rPr>
          <w:sz w:val="28"/>
          <w:szCs w:val="28"/>
        </w:rPr>
        <w:t xml:space="preserve"> и др.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Подать</w:t>
      </w:r>
      <w:r>
        <w:rPr>
          <w:sz w:val="28"/>
          <w:szCs w:val="28"/>
        </w:rPr>
        <w:t xml:space="preserve"> сведения об адресе электронной почты можно при </w:t>
      </w:r>
      <w:r>
        <w:rPr>
          <w:sz w:val="28"/>
          <w:szCs w:val="28"/>
        </w:rPr>
        <w:t xml:space="preserve">обращении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регистраци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недвижимости, получени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выписки </w:t>
      </w:r>
      <w:r>
        <w:rPr>
          <w:sz w:val="28"/>
          <w:szCs w:val="28"/>
        </w:rPr>
        <w:t xml:space="preserve">из ЕГРН и других подобных действиях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делать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</w:t>
      </w:r>
      <w:r>
        <w:rPr>
          <w:sz w:val="28"/>
          <w:szCs w:val="28"/>
        </w:rPr>
        <w:t xml:space="preserve">то можно в МФЦ или направить документы в электронном виде через сайт Росреестра (rosreestr.gov.ru). </w:t>
      </w:r>
      <w:r>
        <w:rPr>
          <w:sz w:val="28"/>
          <w:szCs w:val="28"/>
        </w:rPr>
        <w:t xml:space="preserve">Информация</w:t>
      </w:r>
      <w:r>
        <w:rPr>
          <w:sz w:val="28"/>
          <w:szCs w:val="28"/>
        </w:rPr>
        <w:t xml:space="preserve"> буд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 внесен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бесплатно в течение трех рабочих дней со дня подачи заявления.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заявлени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о невозможности регистрации без личного участия собственника, </w:t>
      </w:r>
      <w:r>
        <w:rPr>
          <w:sz w:val="28"/>
          <w:szCs w:val="28"/>
        </w:rPr>
        <w:t xml:space="preserve">наличие в ЕГРН адреса его почты</w:t>
      </w:r>
      <w:r>
        <w:rPr>
          <w:sz w:val="28"/>
          <w:szCs w:val="28"/>
        </w:rPr>
        <w:t xml:space="preserve"> является дополнительным способом защиты от мошеннических действий.</w:t>
      </w:r>
      <w:r>
        <w:rPr>
          <w:sz w:val="28"/>
          <w:szCs w:val="28"/>
        </w:rPr>
        <w:t xml:space="preserve"> Именно поэтому так важно актуализировать электронный адрес!</w:t>
      </w:r>
    </w:p>
    <w:p>
      <w:pPr>
        <w:ind w:firstLine="6"/>
        <w:jc w:val="both"/>
        <w:rPr>
          <w:sz w:val="28"/>
          <w:szCs w:val="28"/>
        </w:rPr>
      </w:pPr>
    </w:p>
    <w:p>
      <w:pPr>
        <w:ind w:firstLine="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#РосреестрЧелябинск #НаполнениеЕГРН #ПолныйИТочныйРеестр #</w:t>
      </w:r>
      <w:r>
        <w:rPr>
          <w:sz w:val="28"/>
          <w:szCs w:val="28"/>
        </w:rPr>
        <w:t xml:space="preserve">ЕГРН</w:t>
      </w:r>
      <w:r>
        <w:rPr>
          <w:sz w:val="28"/>
          <w:szCs w:val="28"/>
        </w:rPr>
        <w:t xml:space="preserve"> #</w:t>
      </w:r>
      <w:r>
        <w:rPr>
          <w:sz w:val="28"/>
          <w:szCs w:val="28"/>
        </w:rPr>
        <w:t xml:space="preserve">ЭлектроннаяПочта</w:t>
      </w:r>
      <w:r>
        <w:rPr>
          <w:i/>
          <w:sz w:val="28"/>
          <w:szCs w:val="28"/>
        </w:rPr>
        <w:t xml:space="preserve"> </w:t>
      </w:r>
    </w:p>
    <w:bookmarkEnd w:id="0"/>
    <w:p>
      <w:pPr>
        <w:ind w:left="4253" w:firstLine="6"/>
        <w:jc w:val="right"/>
        <w:rPr>
          <w:i/>
          <w:sz w:val="28"/>
          <w:szCs w:val="28"/>
        </w:rPr>
      </w:pPr>
    </w:p>
    <w:p>
      <w:pPr>
        <w:ind w:left="4253" w:firstLine="6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Пресс-служба </w:t>
      </w:r>
      <w:r>
        <w:rPr>
          <w:i/>
          <w:sz w:val="28"/>
          <w:szCs w:val="28"/>
        </w:rPr>
        <w:t xml:space="preserve">Управления </w:t>
      </w:r>
      <w:r>
        <w:rPr>
          <w:i/>
          <w:sz w:val="28"/>
          <w:szCs w:val="28"/>
        </w:rPr>
        <w:t xml:space="preserve">Росреестра и </w:t>
      </w:r>
      <w:r>
        <w:rPr>
          <w:i/>
          <w:sz w:val="28"/>
          <w:szCs w:val="28"/>
        </w:rPr>
        <w:t xml:space="preserve">филиала Роскадастра </w:t>
      </w:r>
      <w:r>
        <w:rPr>
          <w:i/>
          <w:sz w:val="28"/>
          <w:szCs w:val="28"/>
        </w:rPr>
        <w:t xml:space="preserve">по Челябинской области</w:t>
      </w:r>
    </w:p>
    <w:sectPr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647" w:hanging="360"/>
      </w:pPr>
    </w:lvl>
    <w:lvl w:ilvl="2" w:tentative="1" w:tplc="0419001B">
      <w:start w:val="1"/>
      <w:numFmt w:val="lowerRoman"/>
      <w:lvlText w:val="%3."/>
      <w:lvlJc w:val="right"/>
      <w:pPr>
        <w:ind w:left="2367" w:hanging="180"/>
      </w:pPr>
    </w:lvl>
    <w:lvl w:ilvl="3" w:tentative="1" w:tplc="0419000F">
      <w:start w:val="1"/>
      <w:numFmt w:val="decimal"/>
      <w:lvlText w:val="%4."/>
      <w:lvlJc w:val="left"/>
      <w:pPr>
        <w:ind w:left="3087" w:hanging="360"/>
      </w:pPr>
    </w:lvl>
    <w:lvl w:ilvl="4" w:tentative="1" w:tplc="04190019">
      <w:start w:val="1"/>
      <w:numFmt w:val="lowerLetter"/>
      <w:lvlText w:val="%5."/>
      <w:lvlJc w:val="left"/>
      <w:pPr>
        <w:ind w:left="3807" w:hanging="360"/>
      </w:pPr>
    </w:lvl>
    <w:lvl w:ilvl="5" w:tentative="1" w:tplc="0419001B">
      <w:start w:val="1"/>
      <w:numFmt w:val="lowerRoman"/>
      <w:lvlText w:val="%6."/>
      <w:lvlJc w:val="right"/>
      <w:pPr>
        <w:ind w:left="4527" w:hanging="180"/>
      </w:pPr>
    </w:lvl>
    <w:lvl w:ilvl="6" w:tentative="1" w:tplc="0419000F">
      <w:start w:val="1"/>
      <w:numFmt w:val="decimal"/>
      <w:lvlText w:val="%7."/>
      <w:lvlJc w:val="left"/>
      <w:pPr>
        <w:ind w:left="5247" w:hanging="360"/>
      </w:pPr>
    </w:lvl>
    <w:lvl w:ilvl="7" w:tentative="1" w:tplc="04190019">
      <w:start w:val="1"/>
      <w:numFmt w:val="lowerLetter"/>
      <w:lvlText w:val="%8."/>
      <w:lvlJc w:val="left"/>
      <w:pPr>
        <w:ind w:left="5967" w:hanging="360"/>
      </w:pPr>
    </w:lvl>
    <w:lvl w:ilvl="8" w:tentative="1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 w:tplc="04190001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 w:tplc="041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character" w:styleId="a8" w:customStyle="1">
    <w:name w:val="Нет"/>
  </w:style>
  <w:style w:type="paragraph" w:styleId="1" w:customStyle="1">
    <w:name w:val="Основной текст1"/>
    <w:pPr>
      <w:spacing w:after="140" w:line="288" w:lineRule="auto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Pr>
      <w:b/>
      <w:bCs/>
    </w:rPr>
  </w:style>
  <w:style w:type="paragraph" w:styleId="2" w:customStyle="1">
    <w:name w:val="Основной текст2"/>
    <w:pPr>
      <w:spacing w:after="140" w:line="288" w:lineRule="auto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paragraph" w:styleId="10" w:customStyle="1">
    <w:name w:val="Без интервала1"/>
    <w:pPr>
      <w:spacing w:after="0" w:line="240" w:lineRule="auto"/>
    </w:pPr>
    <w:rPr>
      <w:rFonts w:ascii="Calibri" w:hAnsi="Calibri" w:eastAsia="Times New Roman" w:cs="Calibri"/>
    </w:rPr>
  </w:style>
  <w:style w:type="character" w:styleId="ab">
    <w:name w:val="Emphasis"/>
    <w:basedOn w:val="a0"/>
    <w:uiPriority w:val="20"/>
    <w:qFormat/>
    <w:rPr>
      <w:i/>
      <w:iCs/>
    </w:rPr>
  </w:style>
  <w:style w:type="paragraph" w:styleId="23" w:customStyle="1">
    <w:name w:val="Основной текст с отступом 23"/>
    <w:basedOn w:val="a"/>
    <w:pPr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7" w:customStyle="1">
    <w:name w:val="Абзац списка Знак"/>
    <w:basedOn w:val="a0"/>
    <w:link w:val="a6"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1531</Characters>
  <CharactersWithSpaces>1796</CharactersWithSpaces>
  <Company/>
  <DocSecurity>0</DocSecurity>
  <HyperlinksChanged>false</HyperlinksChanged>
  <Lines>12</Lines>
  <LinksUpToDate>false</LinksUpToDate>
  <Pages>1</Pages>
  <Paragraphs>3</Paragraphs>
  <ScaleCrop>false</ScaleCrop>
  <SharedDoc>false</SharedDoc>
  <Template>Normal</Template>
  <TotalTime>4247</TotalTime>
  <Words>268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53</cp:revision>
  <cp:lastPrinted>2025-03-21T07:13:00Z</cp:lastPrinted>
  <dcterms:created xsi:type="dcterms:W3CDTF">2020-02-13T12:18:00Z</dcterms:created>
  <dcterms:modified xsi:type="dcterms:W3CDTF">2025-03-21T08:42:00Z</dcterms:modified>
</cp:coreProperties>
</file>